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CB3272" w14:textId="77777777" w:rsidR="005B391C" w:rsidRPr="00D51245" w:rsidRDefault="00E16F63">
      <w:pPr>
        <w:spacing w:before="240" w:after="240"/>
        <w:rPr>
          <w:b/>
          <w:bCs/>
          <w:sz w:val="20"/>
          <w:szCs w:val="20"/>
          <w:lang w:val="pl-PL"/>
        </w:rPr>
      </w:pPr>
      <w:r w:rsidRPr="00D51245">
        <w:rPr>
          <w:b/>
          <w:bCs/>
          <w:sz w:val="28"/>
          <w:szCs w:val="28"/>
          <w:lang w:val="pl-PL"/>
        </w:rPr>
        <w:t>Zmienić przeszłość w wyobraźni – praca ze wspomnieniami łagodzi lęk przed porażką</w:t>
      </w:r>
    </w:p>
    <w:p w14:paraId="555B4370" w14:textId="77777777" w:rsidR="005B391C" w:rsidRPr="00D51245" w:rsidRDefault="00E16F63">
      <w:pPr>
        <w:spacing w:before="240" w:after="240"/>
        <w:jc w:val="both"/>
        <w:rPr>
          <w:rFonts w:ascii="Arial" w:eastAsia="Arial" w:hAnsi="Arial" w:cs="Arial"/>
          <w:b/>
          <w:bCs/>
          <w:lang w:val="pl-PL"/>
        </w:rPr>
      </w:pPr>
      <w:r w:rsidRPr="00D51245">
        <w:rPr>
          <w:rFonts w:ascii="Arial" w:eastAsia="Arial" w:hAnsi="Arial" w:cs="Arial"/>
          <w:b/>
          <w:bCs/>
          <w:lang w:val="pl-PL"/>
        </w:rPr>
        <w:t>Odpowiednie techniki wyobrażeniowe pozwalają obniżyć lęk przed porażką, którego źródłem są trudne wspomnienia z dzieciństwa – wynika z badań naukowców z Uniwersytetu SWPS i Instytutu Biologii Doświadczalnej im. M. Nenckiego PAN. Wnioski zostały opisane w a</w:t>
      </w:r>
      <w:r w:rsidRPr="00D51245">
        <w:rPr>
          <w:rFonts w:ascii="Arial" w:eastAsia="Arial" w:hAnsi="Arial" w:cs="Arial"/>
          <w:b/>
          <w:bCs/>
          <w:lang w:val="pl-PL"/>
        </w:rPr>
        <w:t>rtykule, który ukazał się w prestiżowym czasopiśmie „</w:t>
      </w:r>
      <w:proofErr w:type="spellStart"/>
      <w:r w:rsidRPr="00D51245">
        <w:rPr>
          <w:rFonts w:ascii="Arial" w:eastAsia="Arial" w:hAnsi="Arial" w:cs="Arial"/>
          <w:b/>
          <w:bCs/>
          <w:lang w:val="pl-PL"/>
        </w:rPr>
        <w:t>Frontiers</w:t>
      </w:r>
      <w:proofErr w:type="spellEnd"/>
      <w:r w:rsidRPr="00D51245">
        <w:rPr>
          <w:rFonts w:ascii="Arial" w:eastAsia="Arial" w:hAnsi="Arial" w:cs="Arial"/>
          <w:b/>
          <w:bCs/>
          <w:lang w:val="pl-PL"/>
        </w:rPr>
        <w:t xml:space="preserve"> in </w:t>
      </w:r>
      <w:proofErr w:type="spellStart"/>
      <w:r w:rsidRPr="00D51245">
        <w:rPr>
          <w:rFonts w:ascii="Arial" w:eastAsia="Arial" w:hAnsi="Arial" w:cs="Arial"/>
          <w:b/>
          <w:bCs/>
          <w:lang w:val="pl-PL"/>
        </w:rPr>
        <w:t>Psychology</w:t>
      </w:r>
      <w:proofErr w:type="spellEnd"/>
      <w:r w:rsidRPr="00D51245">
        <w:rPr>
          <w:rFonts w:ascii="Arial" w:eastAsia="Arial" w:hAnsi="Arial" w:cs="Arial"/>
          <w:b/>
          <w:bCs/>
          <w:lang w:val="pl-PL"/>
        </w:rPr>
        <w:t>”.</w:t>
      </w:r>
    </w:p>
    <w:p w14:paraId="2936FBA0" w14:textId="77777777" w:rsidR="005B391C" w:rsidRPr="00D51245" w:rsidRDefault="00E16F63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D51245">
        <w:rPr>
          <w:sz w:val="20"/>
          <w:szCs w:val="20"/>
          <w:lang w:val="pl-PL"/>
        </w:rPr>
        <w:t>Przykre doświadczenia z dzieciństwa, związane z krytyką, zaniedbaniem czy surowym traktowaniem przez rodziców, mogą rzutować na samopoczucie i jakość życia w wieku dorosłym</w:t>
      </w:r>
      <w:r w:rsidRPr="00D51245">
        <w:rPr>
          <w:sz w:val="20"/>
          <w:szCs w:val="20"/>
          <w:vertAlign w:val="superscript"/>
          <w:lang w:val="pl-PL"/>
        </w:rPr>
        <w:footnoteReference w:id="1"/>
      </w:r>
      <w:r w:rsidRPr="00D51245">
        <w:rPr>
          <w:sz w:val="20"/>
          <w:szCs w:val="20"/>
          <w:lang w:val="pl-PL"/>
        </w:rPr>
        <w:t>. W</w:t>
      </w:r>
      <w:r w:rsidRPr="00D51245">
        <w:rPr>
          <w:sz w:val="20"/>
          <w:szCs w:val="20"/>
          <w:lang w:val="pl-PL"/>
        </w:rPr>
        <w:t xml:space="preserve"> kształtowaniu późniejszych wzorców </w:t>
      </w:r>
      <w:proofErr w:type="spellStart"/>
      <w:r w:rsidRPr="00D51245">
        <w:rPr>
          <w:sz w:val="20"/>
          <w:szCs w:val="20"/>
          <w:lang w:val="pl-PL"/>
        </w:rPr>
        <w:t>zachowań</w:t>
      </w:r>
      <w:proofErr w:type="spellEnd"/>
      <w:r w:rsidRPr="00D51245">
        <w:rPr>
          <w:sz w:val="20"/>
          <w:szCs w:val="20"/>
          <w:lang w:val="pl-PL"/>
        </w:rPr>
        <w:t xml:space="preserve"> dużą rolę może odgrywać m.in. sposób, w jaki opiekunowie reagują na niepowodzenia dziecka. Konsekwencją tego może być właśnie lęk przed porażką, oparty na przekonaniu, że popełnianie błędów czyni nas mniej warto</w:t>
      </w:r>
      <w:r w:rsidRPr="00D51245">
        <w:rPr>
          <w:sz w:val="20"/>
          <w:szCs w:val="20"/>
          <w:lang w:val="pl-PL"/>
        </w:rPr>
        <w:t>ściowymi</w:t>
      </w:r>
      <w:r w:rsidRPr="00D51245">
        <w:rPr>
          <w:sz w:val="20"/>
          <w:szCs w:val="20"/>
          <w:vertAlign w:val="superscript"/>
          <w:lang w:val="pl-PL"/>
        </w:rPr>
        <w:footnoteReference w:id="2"/>
      </w:r>
      <w:r w:rsidRPr="00D51245">
        <w:rPr>
          <w:sz w:val="20"/>
          <w:szCs w:val="20"/>
          <w:lang w:val="pl-PL"/>
        </w:rPr>
        <w:t xml:space="preserve">. </w:t>
      </w:r>
    </w:p>
    <w:p w14:paraId="3D5FFE18" w14:textId="77777777" w:rsidR="005B391C" w:rsidRPr="00D51245" w:rsidRDefault="00E16F63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D51245">
        <w:rPr>
          <w:sz w:val="20"/>
          <w:szCs w:val="20"/>
          <w:lang w:val="pl-PL"/>
        </w:rPr>
        <w:t xml:space="preserve">Zespół badawczy złożony z naukowców z poznańskiego Laboratorium </w:t>
      </w:r>
      <w:proofErr w:type="spellStart"/>
      <w:r w:rsidRPr="00D51245">
        <w:rPr>
          <w:sz w:val="20"/>
          <w:szCs w:val="20"/>
          <w:lang w:val="pl-PL"/>
        </w:rPr>
        <w:t>Neuronauki</w:t>
      </w:r>
      <w:proofErr w:type="spellEnd"/>
      <w:r w:rsidRPr="00D51245">
        <w:rPr>
          <w:sz w:val="20"/>
          <w:szCs w:val="20"/>
          <w:lang w:val="pl-PL"/>
        </w:rPr>
        <w:t xml:space="preserve"> Emocji Instytutu Psychologii Uniwersytetu SWPS oraz Pracowni Obrazowania Mózgu Instytutu Biologii Doświadczalnej im. M. Nenckiego PAN w Warszawie sprawdził, czy w proce</w:t>
      </w:r>
      <w:r w:rsidRPr="00D51245">
        <w:rPr>
          <w:sz w:val="20"/>
          <w:szCs w:val="20"/>
          <w:lang w:val="pl-PL"/>
        </w:rPr>
        <w:t>sie psychoterapii, poprzez techniki oparte na wyobrażeniach, można skutecznie i w sposób trwały zniwelować wpływ tych negatywnych zapisów pamięciowych na codzienne funkcjonowanie.</w:t>
      </w:r>
    </w:p>
    <w:p w14:paraId="26A3B7CF" w14:textId="77777777" w:rsidR="005B391C" w:rsidRPr="00D51245" w:rsidRDefault="00E16F63">
      <w:pPr>
        <w:spacing w:line="300" w:lineRule="auto"/>
        <w:jc w:val="both"/>
        <w:rPr>
          <w:sz w:val="20"/>
          <w:szCs w:val="20"/>
          <w:lang w:val="pl-PL"/>
        </w:rPr>
      </w:pPr>
      <w:r w:rsidRPr="00D51245">
        <w:rPr>
          <w:b/>
          <w:bCs/>
          <w:sz w:val="20"/>
          <w:szCs w:val="20"/>
          <w:lang w:val="pl-PL"/>
        </w:rPr>
        <w:t>Czy praca ze wspomnieniami daje możliwość trwałej zmiany?</w:t>
      </w:r>
    </w:p>
    <w:p w14:paraId="71CF58E9" w14:textId="77777777" w:rsidR="005B391C" w:rsidRPr="00D51245" w:rsidRDefault="00E16F63">
      <w:pPr>
        <w:spacing w:after="240" w:line="300" w:lineRule="auto"/>
        <w:jc w:val="both"/>
        <w:rPr>
          <w:sz w:val="20"/>
          <w:szCs w:val="20"/>
          <w:lang w:val="pl-PL"/>
        </w:rPr>
      </w:pPr>
      <w:r w:rsidRPr="00D51245">
        <w:rPr>
          <w:sz w:val="20"/>
          <w:szCs w:val="20"/>
          <w:lang w:val="pl-PL"/>
        </w:rPr>
        <w:t xml:space="preserve">W randomizowanych </w:t>
      </w:r>
      <w:r w:rsidRPr="00D51245">
        <w:rPr>
          <w:sz w:val="20"/>
          <w:szCs w:val="20"/>
          <w:lang w:val="pl-PL"/>
        </w:rPr>
        <w:t>kontrolowanych badaniach klinicznych wzięło udział 180 młodych dorosłych (w wieku 18-35 lat) doświadczających lęku przed porażką. Przez dwa tygodnie uczestnicy odbyli cztery sesje terapeutyczne, podczas których pracowali z bolesnymi wspomnieniami z dzieciń</w:t>
      </w:r>
      <w:r w:rsidRPr="00D51245">
        <w:rPr>
          <w:sz w:val="20"/>
          <w:szCs w:val="20"/>
          <w:lang w:val="pl-PL"/>
        </w:rPr>
        <w:t xml:space="preserve">stwa związanymi z krytyką. </w:t>
      </w:r>
    </w:p>
    <w:p w14:paraId="3A92E53F" w14:textId="77777777" w:rsidR="005B391C" w:rsidRPr="00D51245" w:rsidRDefault="00E16F63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D51245">
        <w:rPr>
          <w:sz w:val="20"/>
          <w:szCs w:val="20"/>
          <w:lang w:val="pl-PL"/>
        </w:rPr>
        <w:lastRenderedPageBreak/>
        <w:t xml:space="preserve">Część uczestników poddana była ekspozycji wyobrażeniowej (IE), podczas której mieli po prostu przywoływać sytuacje wywołujące lęk lub niepokój (aktywna grupa kontrolna). U drugiej grupy zastosowano technikę </w:t>
      </w:r>
      <w:proofErr w:type="spellStart"/>
      <w:r w:rsidRPr="00D51245">
        <w:rPr>
          <w:sz w:val="20"/>
          <w:szCs w:val="20"/>
          <w:lang w:val="pl-PL"/>
        </w:rPr>
        <w:t>reskrypcji</w:t>
      </w:r>
      <w:proofErr w:type="spellEnd"/>
      <w:r w:rsidRPr="00D51245">
        <w:rPr>
          <w:sz w:val="20"/>
          <w:szCs w:val="20"/>
          <w:lang w:val="pl-PL"/>
        </w:rPr>
        <w:t xml:space="preserve"> wyobrażeni</w:t>
      </w:r>
      <w:r w:rsidRPr="00D51245">
        <w:rPr>
          <w:sz w:val="20"/>
          <w:szCs w:val="20"/>
          <w:lang w:val="pl-PL"/>
        </w:rPr>
        <w:t>owej (</w:t>
      </w:r>
      <w:proofErr w:type="spellStart"/>
      <w:r w:rsidRPr="00D51245">
        <w:rPr>
          <w:sz w:val="20"/>
          <w:szCs w:val="20"/>
          <w:lang w:val="pl-PL"/>
        </w:rPr>
        <w:t>ImRs</w:t>
      </w:r>
      <w:proofErr w:type="spellEnd"/>
      <w:r w:rsidRPr="00D51245">
        <w:rPr>
          <w:sz w:val="20"/>
          <w:szCs w:val="20"/>
          <w:lang w:val="pl-PL"/>
        </w:rPr>
        <w:t>), która zmienia narrację wspomnień. Metoda ta polega na powrocie pamięcią do trudnej sytuacji, a następnie wyobrażeniu sobie, że pojawia się tam "obrońca" (np. terapeuta), który stawia czoła krytykowi i wspiera dziecko. W trzeciej grupie natomia</w:t>
      </w:r>
      <w:r w:rsidRPr="00D51245">
        <w:rPr>
          <w:sz w:val="20"/>
          <w:szCs w:val="20"/>
          <w:lang w:val="pl-PL"/>
        </w:rPr>
        <w:t>st posłużono się tą samą techniką terapeutyczną, ale z procedurą 10-minutowego opóźnienia (</w:t>
      </w:r>
      <w:proofErr w:type="spellStart"/>
      <w:r w:rsidRPr="00D51245">
        <w:rPr>
          <w:sz w:val="20"/>
          <w:szCs w:val="20"/>
          <w:lang w:val="pl-PL"/>
        </w:rPr>
        <w:t>ImRs</w:t>
      </w:r>
      <w:proofErr w:type="spellEnd"/>
      <w:r w:rsidRPr="00D51245">
        <w:rPr>
          <w:sz w:val="20"/>
          <w:szCs w:val="20"/>
          <w:lang w:val="pl-PL"/>
        </w:rPr>
        <w:t>-DSR), która miała zaburzyć ślad pamięciowy krytycznego wspomnienia, wzmacniając siłę interwencji.</w:t>
      </w:r>
    </w:p>
    <w:p w14:paraId="30716C71" w14:textId="77777777" w:rsidR="005B391C" w:rsidRPr="00D51245" w:rsidRDefault="00E16F63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D51245">
        <w:rPr>
          <w:sz w:val="20"/>
          <w:szCs w:val="20"/>
          <w:lang w:val="pl-PL"/>
        </w:rPr>
        <w:t>Uczestnicy badania wypełniali kwestionariusze i brali udział w</w:t>
      </w:r>
      <w:r w:rsidRPr="00D51245">
        <w:rPr>
          <w:sz w:val="20"/>
          <w:szCs w:val="20"/>
          <w:lang w:val="pl-PL"/>
        </w:rPr>
        <w:t xml:space="preserve"> wywiadach. Mierzono im także parametry fizjologiczne. Obserwacje kontrolne przeprowadzono po trzech i sześciu miesiącach. </w:t>
      </w:r>
    </w:p>
    <w:p w14:paraId="0A59FAA1" w14:textId="77777777" w:rsidR="005B391C" w:rsidRPr="00D51245" w:rsidRDefault="00E16F63">
      <w:pPr>
        <w:spacing w:before="240" w:line="300" w:lineRule="auto"/>
        <w:jc w:val="both"/>
        <w:rPr>
          <w:sz w:val="20"/>
          <w:szCs w:val="20"/>
          <w:lang w:val="pl-PL"/>
        </w:rPr>
      </w:pPr>
      <w:r w:rsidRPr="00D51245">
        <w:rPr>
          <w:b/>
          <w:bCs/>
          <w:sz w:val="20"/>
          <w:szCs w:val="20"/>
          <w:lang w:val="pl-PL"/>
        </w:rPr>
        <w:t>Przeprogramowywanie wspomnień – to rzeczywiście działa</w:t>
      </w:r>
    </w:p>
    <w:p w14:paraId="38F0A238" w14:textId="77777777" w:rsidR="005B391C" w:rsidRPr="00D51245" w:rsidRDefault="00E16F63">
      <w:pPr>
        <w:spacing w:line="300" w:lineRule="auto"/>
        <w:jc w:val="both"/>
        <w:rPr>
          <w:sz w:val="20"/>
          <w:szCs w:val="20"/>
          <w:lang w:val="pl-PL"/>
        </w:rPr>
      </w:pPr>
      <w:r w:rsidRPr="00D51245">
        <w:rPr>
          <w:sz w:val="20"/>
          <w:szCs w:val="20"/>
          <w:lang w:val="pl-PL"/>
        </w:rPr>
        <w:t xml:space="preserve">Okazało się, że wszystkie zastosowane techniki wyobrażeniowe doprowadziły do </w:t>
      </w:r>
      <w:r w:rsidRPr="00D51245">
        <w:rPr>
          <w:sz w:val="20"/>
          <w:szCs w:val="20"/>
          <w:lang w:val="pl-PL"/>
        </w:rPr>
        <w:t>znaczącego i trwałego obniżenia lęku przed porażką oraz redukcji negatywnych emocji, takich jak smutek czy poczucie winy. Zmniejszyła się też reaktywność fizjologiczna na związane z krytyką wspomnienia, co oznacza, że uczestnicy przestali reagować silnym s</w:t>
      </w:r>
      <w:r w:rsidRPr="00D51245">
        <w:rPr>
          <w:sz w:val="20"/>
          <w:szCs w:val="20"/>
          <w:lang w:val="pl-PL"/>
        </w:rPr>
        <w:t>tresem, kiedy przywoływali w pamięci nieprzyjemne sytuacje. Poprawa utrzymała się podczas kontroli po trzech i sześciu miesiącach od zakończenia sesji, co dowodzi, że zmiana w psychice jest stabilna.</w:t>
      </w:r>
    </w:p>
    <w:p w14:paraId="028C0CDF" w14:textId="77777777" w:rsidR="005B391C" w:rsidRPr="00D51245" w:rsidRDefault="00E16F63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D51245">
        <w:rPr>
          <w:sz w:val="20"/>
          <w:szCs w:val="20"/>
          <w:lang w:val="pl-PL"/>
        </w:rPr>
        <w:t>– Badania pokazują, że możliwe jest zmniejszenie nasilen</w:t>
      </w:r>
      <w:r w:rsidRPr="00D51245">
        <w:rPr>
          <w:sz w:val="20"/>
          <w:szCs w:val="20"/>
          <w:lang w:val="pl-PL"/>
        </w:rPr>
        <w:t xml:space="preserve">ia nieprzyjemnych emocji i pobudzenia związanego ze wspomnieniami krytyki z dzieciństwa. Odpowiednio dobrane techniki mogą wpływać na to, jak te wspomnienia są przeżywane, czyniąc je mniej obciążającymi – mówi Julia Bączek, psycholożka z Laboratorium </w:t>
      </w:r>
      <w:proofErr w:type="spellStart"/>
      <w:r w:rsidRPr="00D51245">
        <w:rPr>
          <w:sz w:val="20"/>
          <w:szCs w:val="20"/>
          <w:lang w:val="pl-PL"/>
        </w:rPr>
        <w:t>Neuro</w:t>
      </w:r>
      <w:r w:rsidRPr="00D51245">
        <w:rPr>
          <w:sz w:val="20"/>
          <w:szCs w:val="20"/>
          <w:lang w:val="pl-PL"/>
        </w:rPr>
        <w:t>nauki</w:t>
      </w:r>
      <w:proofErr w:type="spellEnd"/>
      <w:r w:rsidRPr="00D51245">
        <w:rPr>
          <w:sz w:val="20"/>
          <w:szCs w:val="20"/>
          <w:lang w:val="pl-PL"/>
        </w:rPr>
        <w:t xml:space="preserve"> Emocji Instytutu Psychologii USWPS, autorka badania.</w:t>
      </w:r>
    </w:p>
    <w:p w14:paraId="51D68846" w14:textId="77777777" w:rsidR="005B391C" w:rsidRPr="00D51245" w:rsidRDefault="00E16F63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D51245">
        <w:rPr>
          <w:sz w:val="20"/>
          <w:szCs w:val="20"/>
          <w:lang w:val="pl-PL"/>
        </w:rPr>
        <w:t xml:space="preserve">Technika </w:t>
      </w:r>
      <w:proofErr w:type="spellStart"/>
      <w:r w:rsidRPr="00D51245">
        <w:rPr>
          <w:sz w:val="20"/>
          <w:szCs w:val="20"/>
          <w:lang w:val="pl-PL"/>
        </w:rPr>
        <w:t>reskrypcji</w:t>
      </w:r>
      <w:proofErr w:type="spellEnd"/>
      <w:r w:rsidRPr="00D51245">
        <w:rPr>
          <w:sz w:val="20"/>
          <w:szCs w:val="20"/>
          <w:lang w:val="pl-PL"/>
        </w:rPr>
        <w:t xml:space="preserve"> wyobrażeniowej była najskuteczniejsza wtedy, gdy wywoływała u badanych zaskoczenie. Zadziałał tutaj „błąd przewidywania”, czyli pojawienie się różnicy między oczekiwaniami a rze</w:t>
      </w:r>
      <w:r w:rsidRPr="00D51245">
        <w:rPr>
          <w:sz w:val="20"/>
          <w:szCs w:val="20"/>
          <w:lang w:val="pl-PL"/>
        </w:rPr>
        <w:t>czywistymi zdarzeniami, których się doświadcza. Sprzyja to aktualizacji starych, bolesnych schematów.</w:t>
      </w:r>
    </w:p>
    <w:p w14:paraId="2E36C74A" w14:textId="77777777" w:rsidR="005B391C" w:rsidRPr="00D51245" w:rsidRDefault="00E16F63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D51245">
        <w:rPr>
          <w:sz w:val="20"/>
          <w:szCs w:val="20"/>
          <w:lang w:val="pl-PL"/>
        </w:rPr>
        <w:lastRenderedPageBreak/>
        <w:t>– Wykazaliśmy, że istotnym elementem terapii wyobrażeniowej jest stworzenie rozbieżności między tym, czego pacjent się spodziewa, a tym, co faktycznie dzi</w:t>
      </w:r>
      <w:r w:rsidRPr="00D51245">
        <w:rPr>
          <w:sz w:val="20"/>
          <w:szCs w:val="20"/>
          <w:lang w:val="pl-PL"/>
        </w:rPr>
        <w:t xml:space="preserve">eje się w nowym obrazie wspomnień. To właśnie to zaskoczenie otwiera drogę do trwałej zmiany terapeutycznej – wskazuje Stanisław Karkosz, kognitywista z Laboratorium </w:t>
      </w:r>
      <w:proofErr w:type="spellStart"/>
      <w:r w:rsidRPr="00D51245">
        <w:rPr>
          <w:sz w:val="20"/>
          <w:szCs w:val="20"/>
          <w:lang w:val="pl-PL"/>
        </w:rPr>
        <w:t>Neuronauki</w:t>
      </w:r>
      <w:proofErr w:type="spellEnd"/>
      <w:r w:rsidRPr="00D51245">
        <w:rPr>
          <w:sz w:val="20"/>
          <w:szCs w:val="20"/>
          <w:lang w:val="pl-PL"/>
        </w:rPr>
        <w:t xml:space="preserve"> Emocji Instytutu Psychologii USWPS, autor badania. </w:t>
      </w:r>
    </w:p>
    <w:p w14:paraId="068834E8" w14:textId="77777777" w:rsidR="005B391C" w:rsidRPr="00D51245" w:rsidRDefault="00E16F63">
      <w:pPr>
        <w:spacing w:before="240" w:line="300" w:lineRule="auto"/>
        <w:jc w:val="both"/>
        <w:rPr>
          <w:b/>
          <w:bCs/>
          <w:sz w:val="20"/>
          <w:szCs w:val="20"/>
          <w:lang w:val="pl-PL"/>
        </w:rPr>
      </w:pPr>
      <w:r w:rsidRPr="00D51245">
        <w:rPr>
          <w:b/>
          <w:bCs/>
          <w:sz w:val="20"/>
          <w:szCs w:val="20"/>
          <w:lang w:val="pl-PL"/>
        </w:rPr>
        <w:t>Doświadczenia z przeszłości</w:t>
      </w:r>
      <w:r w:rsidRPr="00D51245">
        <w:rPr>
          <w:b/>
          <w:bCs/>
          <w:sz w:val="20"/>
          <w:szCs w:val="20"/>
          <w:lang w:val="pl-PL"/>
        </w:rPr>
        <w:t xml:space="preserve"> nie muszą nami rządzić</w:t>
      </w:r>
    </w:p>
    <w:p w14:paraId="326265A6" w14:textId="77777777" w:rsidR="005B391C" w:rsidRPr="00D51245" w:rsidRDefault="00E16F63">
      <w:pPr>
        <w:spacing w:after="240" w:line="300" w:lineRule="auto"/>
        <w:jc w:val="both"/>
        <w:rPr>
          <w:sz w:val="20"/>
          <w:szCs w:val="20"/>
          <w:lang w:val="pl-PL"/>
        </w:rPr>
      </w:pPr>
      <w:r w:rsidRPr="00D51245">
        <w:rPr>
          <w:sz w:val="20"/>
          <w:szCs w:val="20"/>
          <w:lang w:val="pl-PL"/>
        </w:rPr>
        <w:t>Badacze dowodzą, że dzięki odpowiedniemu posługiwaniu się technikami wyobrażeniowymi, w którym „dopisujemy” nowe, bezpieczne zakończenie do dawnych historii, możemy realnie zmienić naszą reakcję na dzisiejsze wyzwania.</w:t>
      </w:r>
    </w:p>
    <w:p w14:paraId="03E26215" w14:textId="77777777" w:rsidR="005B391C" w:rsidRPr="00D51245" w:rsidRDefault="00E16F63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D51245">
        <w:rPr>
          <w:sz w:val="20"/>
          <w:szCs w:val="20"/>
          <w:lang w:val="pl-PL"/>
        </w:rPr>
        <w:t>Wyniki sugeru</w:t>
      </w:r>
      <w:r w:rsidRPr="00D51245">
        <w:rPr>
          <w:sz w:val="20"/>
          <w:szCs w:val="20"/>
          <w:lang w:val="pl-PL"/>
        </w:rPr>
        <w:t>ją, że sposób przeżywania trudnych wspomnień – w tym tych związanych z porażką – może się zmieniać. Oznacza to, że doświadczenia z przeszłości nie muszą być emocjonalnie przetwarzane w stały, niezmienny sposób – podkreśla Julia Bączek.</w:t>
      </w:r>
    </w:p>
    <w:p w14:paraId="1ED96BC4" w14:textId="77777777" w:rsidR="005B391C" w:rsidRPr="00D51245" w:rsidRDefault="00E16F63">
      <w:pPr>
        <w:spacing w:before="240" w:after="240" w:line="300" w:lineRule="auto"/>
        <w:jc w:val="both"/>
        <w:rPr>
          <w:sz w:val="20"/>
          <w:szCs w:val="20"/>
          <w:lang w:val="pl-PL"/>
        </w:rPr>
      </w:pPr>
      <w:r w:rsidRPr="00D51245">
        <w:rPr>
          <w:sz w:val="20"/>
          <w:szCs w:val="20"/>
          <w:lang w:val="pl-PL"/>
        </w:rPr>
        <w:t xml:space="preserve">Z badaniem </w:t>
      </w:r>
      <w:hyperlink r:id="rId7">
        <w:r w:rsidRPr="00D51245">
          <w:rPr>
            <w:color w:val="1155CC"/>
            <w:sz w:val="20"/>
            <w:szCs w:val="20"/>
            <w:u w:val="single"/>
            <w:lang w:val="pl-PL"/>
          </w:rPr>
          <w:t>„</w:t>
        </w:r>
        <w:proofErr w:type="spellStart"/>
        <w:r w:rsidRPr="00D51245">
          <w:rPr>
            <w:color w:val="1155CC"/>
            <w:sz w:val="20"/>
            <w:szCs w:val="20"/>
            <w:u w:val="single"/>
            <w:lang w:val="pl-PL"/>
          </w:rPr>
          <w:t>Imagine</w:t>
        </w:r>
        <w:proofErr w:type="spellEnd"/>
        <w:r w:rsidRPr="00D51245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D51245">
          <w:rPr>
            <w:color w:val="1155CC"/>
            <w:sz w:val="20"/>
            <w:szCs w:val="20"/>
            <w:u w:val="single"/>
            <w:lang w:val="pl-PL"/>
          </w:rPr>
          <w:t>yourself</w:t>
        </w:r>
        <w:proofErr w:type="spellEnd"/>
        <w:r w:rsidRPr="00D51245">
          <w:rPr>
            <w:color w:val="1155CC"/>
            <w:sz w:val="20"/>
            <w:szCs w:val="20"/>
            <w:u w:val="single"/>
            <w:lang w:val="pl-PL"/>
          </w:rPr>
          <w:t xml:space="preserve"> as a </w:t>
        </w:r>
        <w:proofErr w:type="spellStart"/>
        <w:r w:rsidRPr="00D51245">
          <w:rPr>
            <w:color w:val="1155CC"/>
            <w:sz w:val="20"/>
            <w:szCs w:val="20"/>
            <w:u w:val="single"/>
            <w:lang w:val="pl-PL"/>
          </w:rPr>
          <w:t>little</w:t>
        </w:r>
        <w:proofErr w:type="spellEnd"/>
        <w:r w:rsidRPr="00D51245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D51245">
          <w:rPr>
            <w:color w:val="1155CC"/>
            <w:sz w:val="20"/>
            <w:szCs w:val="20"/>
            <w:u w:val="single"/>
            <w:lang w:val="pl-PL"/>
          </w:rPr>
          <w:t>girl</w:t>
        </w:r>
        <w:proofErr w:type="spellEnd"/>
        <w:r w:rsidRPr="00D51245">
          <w:rPr>
            <w:color w:val="1155CC"/>
            <w:sz w:val="20"/>
            <w:szCs w:val="20"/>
            <w:u w:val="single"/>
            <w:lang w:val="pl-PL"/>
          </w:rPr>
          <w:t>…—</w:t>
        </w:r>
        <w:proofErr w:type="spellStart"/>
        <w:r w:rsidRPr="00D51245">
          <w:rPr>
            <w:color w:val="1155CC"/>
            <w:sz w:val="20"/>
            <w:szCs w:val="20"/>
            <w:u w:val="single"/>
            <w:lang w:val="pl-PL"/>
          </w:rPr>
          <w:t>efficacy</w:t>
        </w:r>
        <w:proofErr w:type="spellEnd"/>
        <w:r w:rsidRPr="00D51245">
          <w:rPr>
            <w:color w:val="1155CC"/>
            <w:sz w:val="20"/>
            <w:szCs w:val="20"/>
            <w:u w:val="single"/>
            <w:lang w:val="pl-PL"/>
          </w:rPr>
          <w:t xml:space="preserve"> and </w:t>
        </w:r>
        <w:proofErr w:type="spellStart"/>
        <w:r w:rsidRPr="00D51245">
          <w:rPr>
            <w:color w:val="1155CC"/>
            <w:sz w:val="20"/>
            <w:szCs w:val="20"/>
            <w:u w:val="single"/>
            <w:lang w:val="pl-PL"/>
          </w:rPr>
          <w:t>psychophysiology</w:t>
        </w:r>
        <w:proofErr w:type="spellEnd"/>
        <w:r w:rsidRPr="00D51245">
          <w:rPr>
            <w:color w:val="1155CC"/>
            <w:sz w:val="20"/>
            <w:szCs w:val="20"/>
            <w:u w:val="single"/>
            <w:lang w:val="pl-PL"/>
          </w:rPr>
          <w:t xml:space="preserve"> of </w:t>
        </w:r>
        <w:proofErr w:type="spellStart"/>
        <w:r w:rsidRPr="00D51245">
          <w:rPr>
            <w:color w:val="1155CC"/>
            <w:sz w:val="20"/>
            <w:szCs w:val="20"/>
            <w:u w:val="single"/>
            <w:lang w:val="pl-PL"/>
          </w:rPr>
          <w:t>imagery</w:t>
        </w:r>
        <w:proofErr w:type="spellEnd"/>
        <w:r w:rsidRPr="00D51245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D51245">
          <w:rPr>
            <w:color w:val="1155CC"/>
            <w:sz w:val="20"/>
            <w:szCs w:val="20"/>
            <w:u w:val="single"/>
            <w:lang w:val="pl-PL"/>
          </w:rPr>
          <w:t>techniques</w:t>
        </w:r>
        <w:proofErr w:type="spellEnd"/>
        <w:r w:rsidRPr="00D51245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D51245">
          <w:rPr>
            <w:color w:val="1155CC"/>
            <w:sz w:val="20"/>
            <w:szCs w:val="20"/>
            <w:u w:val="single"/>
            <w:lang w:val="pl-PL"/>
          </w:rPr>
          <w:t>targeting</w:t>
        </w:r>
        <w:proofErr w:type="spellEnd"/>
        <w:r w:rsidRPr="00D51245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D51245">
          <w:rPr>
            <w:color w:val="1155CC"/>
            <w:sz w:val="20"/>
            <w:szCs w:val="20"/>
            <w:u w:val="single"/>
            <w:lang w:val="pl-PL"/>
          </w:rPr>
          <w:t>adverse</w:t>
        </w:r>
        <w:proofErr w:type="spellEnd"/>
        <w:r w:rsidRPr="00D51245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D51245">
          <w:rPr>
            <w:color w:val="1155CC"/>
            <w:sz w:val="20"/>
            <w:szCs w:val="20"/>
            <w:u w:val="single"/>
            <w:lang w:val="pl-PL"/>
          </w:rPr>
          <w:t>autobiographical</w:t>
        </w:r>
        <w:proofErr w:type="spellEnd"/>
        <w:r w:rsidRPr="00D51245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D51245">
          <w:rPr>
            <w:color w:val="1155CC"/>
            <w:sz w:val="20"/>
            <w:szCs w:val="20"/>
            <w:u w:val="single"/>
            <w:lang w:val="pl-PL"/>
          </w:rPr>
          <w:t>childhood</w:t>
        </w:r>
        <w:proofErr w:type="spellEnd"/>
        <w:r w:rsidRPr="00D51245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D51245">
          <w:rPr>
            <w:color w:val="1155CC"/>
            <w:sz w:val="20"/>
            <w:szCs w:val="20"/>
            <w:u w:val="single"/>
            <w:lang w:val="pl-PL"/>
          </w:rPr>
          <w:t>experiences</w:t>
        </w:r>
        <w:proofErr w:type="spellEnd"/>
        <w:r w:rsidRPr="00D51245">
          <w:rPr>
            <w:color w:val="1155CC"/>
            <w:sz w:val="20"/>
            <w:szCs w:val="20"/>
            <w:u w:val="single"/>
            <w:lang w:val="pl-PL"/>
          </w:rPr>
          <w:t xml:space="preserve">- </w:t>
        </w:r>
        <w:proofErr w:type="spellStart"/>
        <w:r w:rsidRPr="00D51245">
          <w:rPr>
            <w:color w:val="1155CC"/>
            <w:sz w:val="20"/>
            <w:szCs w:val="20"/>
            <w:u w:val="single"/>
            <w:lang w:val="pl-PL"/>
          </w:rPr>
          <w:t>multi-arm</w:t>
        </w:r>
        <w:proofErr w:type="spellEnd"/>
        <w:r w:rsidRPr="00D51245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D51245">
          <w:rPr>
            <w:color w:val="1155CC"/>
            <w:sz w:val="20"/>
            <w:szCs w:val="20"/>
            <w:u w:val="single"/>
            <w:lang w:val="pl-PL"/>
          </w:rPr>
          <w:t>r</w:t>
        </w:r>
        <w:r w:rsidRPr="00D51245">
          <w:rPr>
            <w:color w:val="1155CC"/>
            <w:sz w:val="20"/>
            <w:szCs w:val="20"/>
            <w:u w:val="single"/>
            <w:lang w:val="pl-PL"/>
          </w:rPr>
          <w:t>andomised</w:t>
        </w:r>
        <w:proofErr w:type="spellEnd"/>
        <w:r w:rsidRPr="00D51245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D51245">
          <w:rPr>
            <w:color w:val="1155CC"/>
            <w:sz w:val="20"/>
            <w:szCs w:val="20"/>
            <w:u w:val="single"/>
            <w:lang w:val="pl-PL"/>
          </w:rPr>
          <w:t>controlled</w:t>
        </w:r>
        <w:proofErr w:type="spellEnd"/>
        <w:r w:rsidRPr="00D51245">
          <w:rPr>
            <w:color w:val="1155CC"/>
            <w:sz w:val="20"/>
            <w:szCs w:val="20"/>
            <w:u w:val="single"/>
            <w:lang w:val="pl-PL"/>
          </w:rPr>
          <w:t xml:space="preserve"> </w:t>
        </w:r>
        <w:proofErr w:type="spellStart"/>
        <w:r w:rsidRPr="00D51245">
          <w:rPr>
            <w:color w:val="1155CC"/>
            <w:sz w:val="20"/>
            <w:szCs w:val="20"/>
            <w:u w:val="single"/>
            <w:lang w:val="pl-PL"/>
          </w:rPr>
          <w:t>trial</w:t>
        </w:r>
        <w:proofErr w:type="spellEnd"/>
      </w:hyperlink>
      <w:r w:rsidRPr="00D51245">
        <w:rPr>
          <w:sz w:val="20"/>
          <w:szCs w:val="20"/>
          <w:lang w:val="pl-PL"/>
        </w:rPr>
        <w:t>” można zapoznać się na stronie czasopisma „</w:t>
      </w:r>
      <w:proofErr w:type="spellStart"/>
      <w:r w:rsidRPr="00D51245">
        <w:rPr>
          <w:sz w:val="20"/>
          <w:szCs w:val="20"/>
          <w:lang w:val="pl-PL"/>
        </w:rPr>
        <w:t>Frontiers</w:t>
      </w:r>
      <w:proofErr w:type="spellEnd"/>
      <w:r w:rsidRPr="00D51245">
        <w:rPr>
          <w:sz w:val="20"/>
          <w:szCs w:val="20"/>
          <w:lang w:val="pl-PL"/>
        </w:rPr>
        <w:t xml:space="preserve"> in </w:t>
      </w:r>
      <w:proofErr w:type="spellStart"/>
      <w:r w:rsidRPr="00D51245">
        <w:rPr>
          <w:sz w:val="20"/>
          <w:szCs w:val="20"/>
          <w:lang w:val="pl-PL"/>
        </w:rPr>
        <w:t>Psychology</w:t>
      </w:r>
      <w:proofErr w:type="spellEnd"/>
      <w:r w:rsidRPr="00D51245">
        <w:rPr>
          <w:sz w:val="20"/>
          <w:szCs w:val="20"/>
          <w:lang w:val="pl-PL"/>
        </w:rPr>
        <w:t>”.</w:t>
      </w:r>
    </w:p>
    <w:p w14:paraId="1607F128" w14:textId="77777777" w:rsidR="005B391C" w:rsidRPr="00D51245" w:rsidRDefault="00E16F63">
      <w:pPr>
        <w:widowControl/>
        <w:spacing w:line="276" w:lineRule="auto"/>
        <w:jc w:val="both"/>
        <w:rPr>
          <w:rFonts w:ascii="Arial" w:eastAsia="Arial" w:hAnsi="Arial" w:cs="Arial"/>
          <w:b/>
          <w:bCs/>
          <w:lang w:val="pl-PL"/>
        </w:rPr>
      </w:pPr>
      <w:r w:rsidRPr="00D51245">
        <w:rPr>
          <w:rFonts w:ascii="Arial" w:eastAsia="Arial" w:hAnsi="Arial" w:cs="Arial"/>
          <w:b/>
          <w:bCs/>
          <w:lang w:val="pl-PL"/>
        </w:rPr>
        <w:t>****</w:t>
      </w:r>
    </w:p>
    <w:p w14:paraId="49BB52CA" w14:textId="77777777" w:rsidR="005B391C" w:rsidRPr="00D51245" w:rsidRDefault="005B391C">
      <w:pPr>
        <w:widowControl/>
        <w:spacing w:line="276" w:lineRule="auto"/>
        <w:jc w:val="both"/>
        <w:rPr>
          <w:b/>
          <w:bCs/>
          <w:sz w:val="20"/>
          <w:szCs w:val="20"/>
          <w:lang w:val="pl-PL"/>
        </w:rPr>
      </w:pPr>
    </w:p>
    <w:p w14:paraId="3263DF42" w14:textId="77777777" w:rsidR="005B391C" w:rsidRPr="00D51245" w:rsidRDefault="00E16F63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D51245">
        <w:rPr>
          <w:b/>
          <w:bCs/>
          <w:sz w:val="20"/>
          <w:szCs w:val="20"/>
          <w:lang w:val="pl-PL"/>
        </w:rPr>
        <w:t>Uniwersytet SWPS</w:t>
      </w:r>
      <w:r w:rsidRPr="00D51245">
        <w:rPr>
          <w:sz w:val="20"/>
          <w:szCs w:val="20"/>
          <w:lang w:val="pl-PL"/>
        </w:rPr>
        <w:t xml:space="preserve"> to nowoczesna uczelnia oparta na trwałych wartościach. Silną pozycję zawdzięcza połączeniu wysokiej jakości dydaktyki z badaniami naukowy</w:t>
      </w:r>
      <w:r w:rsidRPr="00D51245">
        <w:rPr>
          <w:sz w:val="20"/>
          <w:szCs w:val="20"/>
          <w:lang w:val="pl-PL"/>
        </w:rPr>
        <w:t>mi prowadzonymi na najwyższym poziomie. Uczelnia kształci blisko 18 tys. studentek i studentów – w tym ponad tysiąc z zagranicy oraz ponad 4,5 tys. słuchaczek i słuchaczy studiów podyplomowych na ponad 50 kierunkach studiów stacjonarnych i ponad 40 niestac</w:t>
      </w:r>
      <w:r w:rsidRPr="00D51245">
        <w:rPr>
          <w:sz w:val="20"/>
          <w:szCs w:val="20"/>
          <w:lang w:val="pl-PL"/>
        </w:rPr>
        <w:t>jonarnych i ok. 240 kierunkach studiów podyplomowych. Uniwersytet oferuje programy studiów z psychologii, prawa, zarządzania, dziennikarstwa, filologii, kulturoznawstwa, nowych technologii oraz grafiki i wzornictwa, a także edukację w postaci szkoleń i kró</w:t>
      </w:r>
      <w:r w:rsidRPr="00D51245">
        <w:rPr>
          <w:sz w:val="20"/>
          <w:szCs w:val="20"/>
          <w:lang w:val="pl-PL"/>
        </w:rPr>
        <w:t>tkich kursów akademickich. Uczelnia dba o wysoką wartość akademicką naszych programów oraz ich dostosowanie do wymagań zmieniającego się rynku pracy. Kampusy Uniwersytetu SWPS znajdują się w sześciu miastach: Warszawie (siedziba), Wrocławiu, Sopocie, Pozna</w:t>
      </w:r>
      <w:r w:rsidRPr="00D51245">
        <w:rPr>
          <w:sz w:val="20"/>
          <w:szCs w:val="20"/>
          <w:lang w:val="pl-PL"/>
        </w:rPr>
        <w:t>niu, Katowicach i w Krakowie.</w:t>
      </w:r>
    </w:p>
    <w:p w14:paraId="3C78B294" w14:textId="77777777" w:rsidR="005B391C" w:rsidRPr="00D51245" w:rsidRDefault="005B391C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7D67BC2B" w14:textId="77777777" w:rsidR="005B391C" w:rsidRPr="00D51245" w:rsidRDefault="00E16F63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D51245">
        <w:rPr>
          <w:sz w:val="20"/>
          <w:szCs w:val="20"/>
          <w:lang w:val="pl-PL"/>
        </w:rPr>
        <w:t>Uczelnia posiada uprawnienia do nadawania stopnia doktora oraz doktora habilitowanego w siedmiu dyscyplinach: psychologia, nauki o kulturze i religii, literaturoznawstwo, nauki prawne, nauki socjologiczne, nauki o polityce i administracji, sztuki plastyczn</w:t>
      </w:r>
      <w:r w:rsidRPr="00D51245">
        <w:rPr>
          <w:sz w:val="20"/>
          <w:szCs w:val="20"/>
          <w:lang w:val="pl-PL"/>
        </w:rPr>
        <w:t>e i konserwacja dzieł sztuki. Na Uniwersytecie SWPS funkcjonuje pięć instytutów naukowych, które zajmują się organizacją i koordynacją działalności naukowej pracowników badawczych i badawczo-dydaktycznych uczelni w poszczególnych dyscyplinach: Instytut Psy</w:t>
      </w:r>
      <w:r w:rsidRPr="00D51245">
        <w:rPr>
          <w:sz w:val="20"/>
          <w:szCs w:val="20"/>
          <w:lang w:val="pl-PL"/>
        </w:rPr>
        <w:t>chologii, Instytut Nauk Humanistycznych, Instytut Nauk Społecznych, Instytut Prawa oraz Instytut Projektowania. W uczelni działa blisko 30 centrów badawczych oraz ponad 175 kół naukowych.</w:t>
      </w:r>
    </w:p>
    <w:p w14:paraId="0FAAA6C0" w14:textId="77777777" w:rsidR="005B391C" w:rsidRPr="00D51245" w:rsidRDefault="005B391C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20CBC13C" w14:textId="77777777" w:rsidR="005B391C" w:rsidRPr="00D51245" w:rsidRDefault="00E16F63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D51245">
        <w:rPr>
          <w:sz w:val="20"/>
          <w:szCs w:val="20"/>
          <w:lang w:val="pl-PL"/>
        </w:rPr>
        <w:t xml:space="preserve">Uniwersytet SWPS należy do sojuszu </w:t>
      </w:r>
      <w:proofErr w:type="spellStart"/>
      <w:r w:rsidRPr="00D51245">
        <w:rPr>
          <w:sz w:val="20"/>
          <w:szCs w:val="20"/>
          <w:lang w:val="pl-PL"/>
        </w:rPr>
        <w:t>European</w:t>
      </w:r>
      <w:proofErr w:type="spellEnd"/>
      <w:r w:rsidRPr="00D51245">
        <w:rPr>
          <w:sz w:val="20"/>
          <w:szCs w:val="20"/>
          <w:lang w:val="pl-PL"/>
        </w:rPr>
        <w:t xml:space="preserve"> Reform University Allia</w:t>
      </w:r>
      <w:r w:rsidRPr="00D51245">
        <w:rPr>
          <w:sz w:val="20"/>
          <w:szCs w:val="20"/>
          <w:lang w:val="pl-PL"/>
        </w:rPr>
        <w:t>nce (ERUA). Jest to sojusz uczelni zawarty w ramach Inicjatywy Uniwersytetów Europejskich, powołanej i finansowanej przez Komisję Europejską.</w:t>
      </w:r>
    </w:p>
    <w:p w14:paraId="43C0D817" w14:textId="77777777" w:rsidR="005B391C" w:rsidRPr="00D51245" w:rsidRDefault="005B391C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sectPr w:rsidR="005B391C" w:rsidRPr="00D51245">
      <w:headerReference w:type="even" r:id="rId8"/>
      <w:headerReference w:type="default" r:id="rId9"/>
      <w:footerReference w:type="default" r:id="rId10"/>
      <w:headerReference w:type="first" r:id="rId11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6DC6BA" w14:textId="77777777" w:rsidR="00E16F63" w:rsidRDefault="00E16F63">
      <w:r>
        <w:separator/>
      </w:r>
    </w:p>
  </w:endnote>
  <w:endnote w:type="continuationSeparator" w:id="0">
    <w:p w14:paraId="61ABD324" w14:textId="77777777" w:rsidR="00E16F63" w:rsidRDefault="00E16F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00"/>
    <w:family w:val="auto"/>
    <w:pitch w:val="default"/>
    <w:embedRegular r:id="rId1" w:fontKey="{47DAD275-526C-496D-BE35-16A6737334D0}"/>
    <w:embedBold r:id="rId2" w:fontKey="{13309F40-A14C-4116-AA89-819D102BCC3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3" w:fontKey="{9E938E3C-A837-40C2-8E72-9A93F86BF0C7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3809B49A-A8DB-4E5C-AB0F-8F043A52397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2A2F32A7-D9F8-4118-BBCF-333615A638E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8E6C42A0-0B7A-4DB3-9A81-874B2C65A67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3BE3E1" w14:textId="77777777" w:rsidR="005B391C" w:rsidRDefault="00E16F6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6704" behindDoc="1" locked="0" layoutInCell="1" hidden="0" allowOverlap="1" wp14:anchorId="7F11DEB8" wp14:editId="6B9A3C31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5" name="Prostokąt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9855B43" w14:textId="77777777" w:rsidR="005B391C" w:rsidRDefault="00E16F63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4C0AF580" w14:textId="77777777" w:rsidR="005B391C" w:rsidRDefault="00E16F63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b="0" l="0" r="0" t="0"/>
              <wp:wrapNone/>
              <wp:docPr id="15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80635" cy="43675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7728" behindDoc="1" locked="0" layoutInCell="1" hidden="0" allowOverlap="1" wp14:anchorId="17040DAD" wp14:editId="118D72A7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16" name="Prostokąt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FCF449A" w14:textId="77777777" w:rsidR="005B391C" w:rsidRDefault="00E16F63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b="0" l="0" r="0" t="0"/>
              <wp:wrapNone/>
              <wp:docPr id="16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68475" cy="18619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7A5647" w14:textId="77777777" w:rsidR="00E16F63" w:rsidRDefault="00E16F63">
      <w:r>
        <w:separator/>
      </w:r>
    </w:p>
  </w:footnote>
  <w:footnote w:type="continuationSeparator" w:id="0">
    <w:p w14:paraId="7A9FCE64" w14:textId="77777777" w:rsidR="00E16F63" w:rsidRDefault="00E16F63">
      <w:r>
        <w:continuationSeparator/>
      </w:r>
    </w:p>
  </w:footnote>
  <w:footnote w:id="1">
    <w:p w14:paraId="55A6C516" w14:textId="77777777" w:rsidR="005B391C" w:rsidRDefault="00E16F63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r>
        <w:rPr>
          <w:sz w:val="16"/>
          <w:szCs w:val="16"/>
        </w:rPr>
        <w:t xml:space="preserve">Williams, S. E., Ford, J. H., and </w:t>
      </w:r>
      <w:proofErr w:type="spellStart"/>
      <w:r>
        <w:rPr>
          <w:sz w:val="16"/>
          <w:szCs w:val="16"/>
        </w:rPr>
        <w:t>Kensinger</w:t>
      </w:r>
      <w:proofErr w:type="spellEnd"/>
      <w:r>
        <w:rPr>
          <w:sz w:val="16"/>
          <w:szCs w:val="16"/>
        </w:rPr>
        <w:t xml:space="preserve">, E. A. (2022). The power of negative and positive episodic memories. </w:t>
      </w:r>
      <w:proofErr w:type="spellStart"/>
      <w:r>
        <w:rPr>
          <w:sz w:val="16"/>
          <w:szCs w:val="16"/>
        </w:rPr>
        <w:t>Cogn</w:t>
      </w:r>
      <w:proofErr w:type="spellEnd"/>
      <w:r>
        <w:rPr>
          <w:sz w:val="16"/>
          <w:szCs w:val="16"/>
        </w:rPr>
        <w:t xml:space="preserve">. Affect. </w:t>
      </w:r>
      <w:proofErr w:type="spellStart"/>
      <w:r>
        <w:rPr>
          <w:sz w:val="16"/>
          <w:szCs w:val="16"/>
        </w:rPr>
        <w:t>Behav</w:t>
      </w:r>
      <w:proofErr w:type="spellEnd"/>
      <w:r>
        <w:rPr>
          <w:sz w:val="16"/>
          <w:szCs w:val="16"/>
        </w:rPr>
        <w:t xml:space="preserve">. </w:t>
      </w:r>
      <w:proofErr w:type="spellStart"/>
      <w:r>
        <w:rPr>
          <w:sz w:val="16"/>
          <w:szCs w:val="16"/>
        </w:rPr>
        <w:t>Neurosci</w:t>
      </w:r>
      <w:proofErr w:type="spellEnd"/>
      <w:r>
        <w:rPr>
          <w:sz w:val="16"/>
          <w:szCs w:val="16"/>
        </w:rPr>
        <w:t xml:space="preserve">. 22, 869–903. </w:t>
      </w:r>
      <w:proofErr w:type="spellStart"/>
      <w:r>
        <w:rPr>
          <w:sz w:val="16"/>
          <w:szCs w:val="16"/>
        </w:rPr>
        <w:t>doi</w:t>
      </w:r>
      <w:proofErr w:type="spellEnd"/>
      <w:r>
        <w:rPr>
          <w:sz w:val="16"/>
          <w:szCs w:val="16"/>
        </w:rPr>
        <w:t>: 10.3758/ s13415-022-01013-z</w:t>
      </w:r>
    </w:p>
  </w:footnote>
  <w:footnote w:id="2">
    <w:p w14:paraId="79E3B6D4" w14:textId="77777777" w:rsidR="005B391C" w:rsidRDefault="00E16F63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r>
        <w:rPr>
          <w:sz w:val="16"/>
          <w:szCs w:val="16"/>
        </w:rPr>
        <w:t>Balkis,</w:t>
      </w:r>
      <w:r>
        <w:rPr>
          <w:sz w:val="16"/>
          <w:szCs w:val="16"/>
        </w:rPr>
        <w:t xml:space="preserve"> M., </w:t>
      </w:r>
      <w:proofErr w:type="spellStart"/>
      <w:r>
        <w:rPr>
          <w:sz w:val="16"/>
          <w:szCs w:val="16"/>
        </w:rPr>
        <w:t>Duru</w:t>
      </w:r>
      <w:proofErr w:type="spellEnd"/>
      <w:r>
        <w:rPr>
          <w:sz w:val="16"/>
          <w:szCs w:val="16"/>
        </w:rPr>
        <w:t xml:space="preserve">, S., and </w:t>
      </w:r>
      <w:proofErr w:type="spellStart"/>
      <w:r>
        <w:rPr>
          <w:sz w:val="16"/>
          <w:szCs w:val="16"/>
        </w:rPr>
        <w:t>Duru</w:t>
      </w:r>
      <w:proofErr w:type="spellEnd"/>
      <w:r>
        <w:rPr>
          <w:sz w:val="16"/>
          <w:szCs w:val="16"/>
        </w:rPr>
        <w:t xml:space="preserve">, E. (2024). Academic procrastination and fear of failure: the role of irrational/rational academic beliefs. Psychol. Sch. 61, 2376–2387. </w:t>
      </w:r>
      <w:proofErr w:type="spellStart"/>
      <w:r>
        <w:rPr>
          <w:sz w:val="16"/>
          <w:szCs w:val="16"/>
        </w:rPr>
        <w:t>doi</w:t>
      </w:r>
      <w:proofErr w:type="spellEnd"/>
      <w:r>
        <w:rPr>
          <w:sz w:val="16"/>
          <w:szCs w:val="16"/>
        </w:rPr>
        <w:t>: 10.1002/pits.23171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B83F22" w14:textId="77777777" w:rsidR="005B391C" w:rsidRDefault="00E16F6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7ECAE73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D0D207" w14:textId="77777777" w:rsidR="005B391C" w:rsidRDefault="00E16F6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4915978D" wp14:editId="5C63E33F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17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D0C279" w14:textId="77777777" w:rsidR="005B391C" w:rsidRDefault="00E16F6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7A742B1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391C"/>
    <w:rsid w:val="005B391C"/>
    <w:rsid w:val="00D51245"/>
    <w:rsid w:val="00E16F63"/>
    <w:rsid w:val="00F14D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64E36C86"/>
  <w15:docId w15:val="{A2BF613B-FA83-448E-B372-8EB163CDB7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frontiersin.org/journals/psychology/articles/10.3389/fpsyg.2025.1710963/full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j64TbUJ7LTz5ZmlDDM2pn8mzR6A==">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987</Words>
  <Characters>5923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Uniwersytet SWPS</Company>
  <LinksUpToDate>false</LinksUpToDate>
  <CharactersWithSpaces>6897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Marta Danowska-Kisiel</cp:lastModifiedBy>
  <cp:revision>3</cp:revision>
  <dcterms:created xsi:type="dcterms:W3CDTF">2026-02-25T07:44:00Z</dcterms:created>
  <dcterms:modified xsi:type="dcterms:W3CDTF">2026-02-25T07:58:00Z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